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CD" w:rsidRPr="000915EF" w:rsidRDefault="00CC41CD" w:rsidP="008808AB">
      <w:pPr>
        <w:tabs>
          <w:tab w:val="left" w:pos="4111"/>
        </w:tabs>
        <w:rPr>
          <w:b/>
          <w:sz w:val="28"/>
          <w:szCs w:val="28"/>
        </w:rPr>
      </w:pPr>
      <w:r w:rsidRPr="000915EF">
        <w:rPr>
          <w:b/>
          <w:sz w:val="28"/>
          <w:szCs w:val="28"/>
        </w:rPr>
        <w:t>Modelleren abstracte object</w:t>
      </w:r>
      <w:r w:rsidR="00544753" w:rsidRPr="000915EF">
        <w:rPr>
          <w:b/>
          <w:sz w:val="28"/>
          <w:szCs w:val="28"/>
        </w:rPr>
        <w:t>typen</w:t>
      </w:r>
    </w:p>
    <w:p w:rsidR="00F215B9" w:rsidRDefault="000915EF" w:rsidP="00544753">
      <w:pPr>
        <w:tabs>
          <w:tab w:val="left" w:pos="4111"/>
        </w:tabs>
      </w:pPr>
      <w:r>
        <w:t xml:space="preserve">Er wordt nu expliciet onderscheid gemaakt tussen abstracte en concrete objectentypen. </w:t>
      </w:r>
    </w:p>
    <w:p w:rsidR="00F215B9" w:rsidRDefault="00F215B9" w:rsidP="00F215B9">
      <w:pPr>
        <w:tabs>
          <w:tab w:val="left" w:pos="4111"/>
        </w:tabs>
      </w:pPr>
      <w:r>
        <w:t>Toegepaste regels:</w:t>
      </w:r>
    </w:p>
    <w:p w:rsidR="00F215B9" w:rsidRDefault="00F215B9" w:rsidP="00F215B9">
      <w:pPr>
        <w:pStyle w:val="Lijstalinea"/>
        <w:numPr>
          <w:ilvl w:val="0"/>
          <w:numId w:val="1"/>
        </w:numPr>
        <w:tabs>
          <w:tab w:val="left" w:pos="4111"/>
        </w:tabs>
      </w:pPr>
      <w:r>
        <w:t>De naam van een abstract objecttype is in de diagrammen cursief aangegeven.</w:t>
      </w:r>
    </w:p>
    <w:p w:rsidR="00F215B9" w:rsidRDefault="00F215B9" w:rsidP="00F215B9">
      <w:pPr>
        <w:pStyle w:val="Lijstalinea"/>
        <w:numPr>
          <w:ilvl w:val="0"/>
          <w:numId w:val="1"/>
        </w:numPr>
        <w:tabs>
          <w:tab w:val="left" w:pos="4111"/>
        </w:tabs>
      </w:pPr>
      <w:r>
        <w:t xml:space="preserve">Een abstract objecttype bevat altijd het afleidbare attribuutsoort “identificatie”. </w:t>
      </w:r>
    </w:p>
    <w:p w:rsidR="00F215B9" w:rsidRDefault="00F215B9" w:rsidP="00F215B9">
      <w:pPr>
        <w:pStyle w:val="Lijstalinea"/>
        <w:numPr>
          <w:ilvl w:val="0"/>
          <w:numId w:val="1"/>
        </w:numPr>
        <w:tabs>
          <w:tab w:val="left" w:pos="4111"/>
        </w:tabs>
      </w:pPr>
      <w:r>
        <w:t xml:space="preserve">Een abstract objecttype bevat een subtypering als attribuutsoort indien specialisatie objecten </w:t>
      </w:r>
      <w:r w:rsidR="005A7F58">
        <w:t>van het abstracte objecttype</w:t>
      </w:r>
      <w:r w:rsidR="00F43B0A">
        <w:t xml:space="preserve"> </w:t>
      </w:r>
      <w:r>
        <w:t>overlappende identificaties hebben. Hierdoor zijn de objecten binnen de populatie van het abstract objecttype uniek aan te duiden.</w:t>
      </w:r>
    </w:p>
    <w:p w:rsidR="00012EF4" w:rsidRDefault="00F43B0A" w:rsidP="00544753">
      <w:pPr>
        <w:pStyle w:val="Lijstalinea"/>
        <w:numPr>
          <w:ilvl w:val="0"/>
          <w:numId w:val="1"/>
        </w:numPr>
        <w:tabs>
          <w:tab w:val="left" w:pos="4111"/>
        </w:tabs>
      </w:pPr>
      <w:r>
        <w:t>Een concreet objecttype bevat altijd een “identificerend” attribuutsoort waarmee objecten van het type binnen de eigen populatie uniek zijn aan te duiden</w:t>
      </w:r>
      <w:r w:rsidR="00AD6307">
        <w:t xml:space="preserve"> (zie voorbeeld 2). </w:t>
      </w:r>
    </w:p>
    <w:p w:rsidR="00F215B9" w:rsidRDefault="00012EF4" w:rsidP="00012EF4">
      <w:pPr>
        <w:tabs>
          <w:tab w:val="left" w:pos="4111"/>
        </w:tabs>
      </w:pPr>
      <w:r>
        <w:t>Door toepassing van deze regels bewerkstelligen we dat e</w:t>
      </w:r>
      <w:r w:rsidR="00785660">
        <w:t xml:space="preserve">en eenduidige structuur </w:t>
      </w:r>
      <w:r>
        <w:t xml:space="preserve">voor het specificeren van abstracte en concrete objecttypen </w:t>
      </w:r>
      <w:r w:rsidR="00785660">
        <w:t xml:space="preserve">binnen de modellen </w:t>
      </w:r>
      <w:r>
        <w:t xml:space="preserve">bereikt wordt. </w:t>
      </w:r>
    </w:p>
    <w:p w:rsidR="00F43B0A" w:rsidRDefault="00F43B0A" w:rsidP="00F43B0A">
      <w:pPr>
        <w:pStyle w:val="Lijstalinea"/>
        <w:tabs>
          <w:tab w:val="left" w:pos="4111"/>
        </w:tabs>
      </w:pPr>
    </w:p>
    <w:p w:rsidR="00F215B9" w:rsidRPr="00F215B9" w:rsidRDefault="00F215B9" w:rsidP="00544753">
      <w:pPr>
        <w:tabs>
          <w:tab w:val="left" w:pos="4111"/>
        </w:tabs>
        <w:rPr>
          <w:b/>
        </w:rPr>
      </w:pPr>
      <w:r w:rsidRPr="00F215B9">
        <w:rPr>
          <w:b/>
        </w:rPr>
        <w:t>Voorbeeld 1</w:t>
      </w:r>
      <w:r>
        <w:rPr>
          <w:b/>
        </w:rPr>
        <w:t xml:space="preserve">: </w:t>
      </w:r>
      <w:r w:rsidRPr="00F215B9">
        <w:rPr>
          <w:b/>
        </w:rPr>
        <w:t xml:space="preserve">specialisaties met overlappende </w:t>
      </w:r>
      <w:proofErr w:type="spellStart"/>
      <w:r w:rsidRPr="00F215B9">
        <w:rPr>
          <w:b/>
        </w:rPr>
        <w:t>identifcaties</w:t>
      </w:r>
      <w:proofErr w:type="spellEnd"/>
    </w:p>
    <w:p w:rsidR="000915EF" w:rsidRDefault="000915EF" w:rsidP="00544753">
      <w:pPr>
        <w:tabs>
          <w:tab w:val="left" w:pos="4111"/>
        </w:tabs>
      </w:pPr>
      <w:r>
        <w:t>In het voorbeeld is onder meer SUBJECT een abstract objecttype.</w:t>
      </w:r>
    </w:p>
    <w:p w:rsidR="00544753" w:rsidRDefault="00544753" w:rsidP="00544753">
      <w:pPr>
        <w:tabs>
          <w:tab w:val="left" w:pos="4111"/>
        </w:tabs>
      </w:pPr>
      <w:r>
        <w:t>Een object van het type SUBJECT is altijd ook van het type VESTIGING, ANDER BUITENLAND NIET-NATUURLIJK PERSOON, INGESCHREVEN NIET-NATUURLIJK PERSO</w:t>
      </w:r>
      <w:r w:rsidR="000915EF">
        <w:t xml:space="preserve">ON,NIET-INGEZETENE, INGEZETENE of </w:t>
      </w:r>
      <w:r>
        <w:t>ANDER NATUURLIJK PERSOON.</w:t>
      </w:r>
    </w:p>
    <w:p w:rsidR="00F215B9" w:rsidRDefault="00F215B9" w:rsidP="00F215B9">
      <w:pPr>
        <w:tabs>
          <w:tab w:val="left" w:pos="4111"/>
        </w:tabs>
      </w:pPr>
      <w:r>
        <w:t xml:space="preserve">De identificatie (zie unieke aanduidingen) van de objecten van het  type VESTIGING, ANDER BUITENLAND NIET-NATUURLIJK PERSOON, INGESCHREVEN NIET-NATUURLIJK PERSOON,NIET-INGEZETENE, INGEZETENE of ANDER NATUURLIJK PERSOON overlappen elkaar. Bijvoorbeeld </w:t>
      </w:r>
      <w:r w:rsidR="005E729C">
        <w:t xml:space="preserve">de waarde van het </w:t>
      </w:r>
      <w:proofErr w:type="spellStart"/>
      <w:r w:rsidR="005E729C">
        <w:t>Burgerservicenummer</w:t>
      </w:r>
      <w:proofErr w:type="spellEnd"/>
      <w:r w:rsidR="005E729C">
        <w:t xml:space="preserve"> van </w:t>
      </w:r>
      <w:r>
        <w:t xml:space="preserve">een object van het type INGEZETENE </w:t>
      </w:r>
      <w:r w:rsidR="005E729C">
        <w:t>kan</w:t>
      </w:r>
      <w:r>
        <w:t xml:space="preserve"> </w:t>
      </w:r>
      <w:r w:rsidR="005E729C">
        <w:t>het</w:t>
      </w:r>
      <w:r>
        <w:t xml:space="preserve">zelfde </w:t>
      </w:r>
      <w:r w:rsidR="005E729C">
        <w:t xml:space="preserve">zijn </w:t>
      </w:r>
      <w:r>
        <w:t xml:space="preserve">als de waarde van </w:t>
      </w:r>
      <w:proofErr w:type="spellStart"/>
      <w:r>
        <w:t>NNP-id</w:t>
      </w:r>
      <w:proofErr w:type="spellEnd"/>
      <w:r>
        <w:t xml:space="preserve"> van een object van het type INGESCHREVEN NIET-NATUURLIJK PERSOON</w:t>
      </w:r>
      <w:r w:rsidR="005E729C">
        <w:t>.</w:t>
      </w:r>
    </w:p>
    <w:p w:rsidR="00F215B9" w:rsidRDefault="00F215B9" w:rsidP="00544753">
      <w:pPr>
        <w:tabs>
          <w:tab w:val="left" w:pos="4111"/>
        </w:tabs>
      </w:pPr>
    </w:p>
    <w:p w:rsidR="000915EF" w:rsidRDefault="000915EF" w:rsidP="008808AB">
      <w:pPr>
        <w:tabs>
          <w:tab w:val="left" w:pos="4111"/>
        </w:tabs>
      </w:pPr>
    </w:p>
    <w:p w:rsidR="000915EF" w:rsidRDefault="000915EF" w:rsidP="008808AB">
      <w:pPr>
        <w:tabs>
          <w:tab w:val="left" w:pos="4111"/>
        </w:tabs>
      </w:pPr>
    </w:p>
    <w:p w:rsidR="00CC41CD" w:rsidRDefault="00CC41CD" w:rsidP="008808AB">
      <w:pPr>
        <w:tabs>
          <w:tab w:val="left" w:pos="4111"/>
        </w:tabs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-817880</wp:posOffset>
            </wp:positionH>
            <wp:positionV relativeFrom="paragraph">
              <wp:posOffset>100330</wp:posOffset>
            </wp:positionV>
            <wp:extent cx="7411085" cy="7305675"/>
            <wp:effectExtent l="1905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085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753" w:rsidRDefault="00544753" w:rsidP="0041201E">
      <w:pPr>
        <w:pStyle w:val="Lijstalinea"/>
        <w:tabs>
          <w:tab w:val="left" w:pos="4111"/>
        </w:tabs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Default="0041201E" w:rsidP="0041201E">
      <w:pPr>
        <w:pStyle w:val="Lijstalinea"/>
        <w:tabs>
          <w:tab w:val="left" w:pos="4111"/>
        </w:tabs>
        <w:rPr>
          <w:b/>
        </w:rPr>
      </w:pPr>
    </w:p>
    <w:p w:rsidR="0041201E" w:rsidRPr="0041201E" w:rsidRDefault="0041201E" w:rsidP="0041201E">
      <w:pPr>
        <w:tabs>
          <w:tab w:val="left" w:pos="4111"/>
        </w:tabs>
        <w:rPr>
          <w:b/>
        </w:rPr>
      </w:pPr>
      <w:r w:rsidRPr="0041201E">
        <w:rPr>
          <w:b/>
        </w:rPr>
        <w:t xml:space="preserve">Voorbeeld 2: specialisaties met niet-overlappende </w:t>
      </w:r>
      <w:proofErr w:type="spellStart"/>
      <w:r w:rsidRPr="0041201E">
        <w:rPr>
          <w:b/>
        </w:rPr>
        <w:t>identifcaties</w:t>
      </w:r>
      <w:proofErr w:type="spellEnd"/>
    </w:p>
    <w:p w:rsidR="00960427" w:rsidRDefault="0098769E" w:rsidP="008808AB">
      <w:pPr>
        <w:tabs>
          <w:tab w:val="left" w:pos="4111"/>
        </w:tabs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-815340</wp:posOffset>
            </wp:positionH>
            <wp:positionV relativeFrom="paragraph">
              <wp:posOffset>889635</wp:posOffset>
            </wp:positionV>
            <wp:extent cx="7218045" cy="3651250"/>
            <wp:effectExtent l="19050" t="0" r="1905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8045" cy="365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01E">
        <w:t xml:space="preserve">De identificatie van de objecten van het type NUMMERAANDUIDING en van het type OVERIG ADRESSEERBAAR OBJECTAANDUIDING overlappen elkaar niet. Hierdoor geen subtypering als attribuutsoort nodig voor ADRESSEERBAAR OBJECT AANDUIDING </w:t>
      </w:r>
      <w:r w:rsidR="00A5657C">
        <w:t>.</w:t>
      </w:r>
    </w:p>
    <w:p w:rsidR="00CB5A48" w:rsidRPr="00A5657C" w:rsidRDefault="00785660" w:rsidP="00A5657C">
      <w:pPr>
        <w:tabs>
          <w:tab w:val="left" w:pos="4111"/>
        </w:tabs>
        <w:rPr>
          <w:i/>
        </w:rPr>
      </w:pPr>
      <w:r>
        <w:rPr>
          <w:i/>
        </w:rPr>
        <w:t xml:space="preserve">: </w:t>
      </w:r>
    </w:p>
    <w:p w:rsidR="0098769E" w:rsidRDefault="0098769E">
      <w:pPr>
        <w:rPr>
          <w:b/>
        </w:rPr>
      </w:pPr>
      <w:r>
        <w:rPr>
          <w:b/>
        </w:rPr>
        <w:br w:type="page"/>
      </w:r>
    </w:p>
    <w:p w:rsidR="00785660" w:rsidRPr="00785660" w:rsidRDefault="00785660" w:rsidP="005A7F58">
      <w:pPr>
        <w:tabs>
          <w:tab w:val="left" w:pos="4111"/>
        </w:tabs>
        <w:rPr>
          <w:b/>
        </w:rPr>
      </w:pPr>
      <w:r>
        <w:rPr>
          <w:b/>
        </w:rPr>
        <w:lastRenderedPageBreak/>
        <w:t xml:space="preserve">Uitwerking regel: </w:t>
      </w:r>
      <w:r w:rsidRPr="00785660">
        <w:rPr>
          <w:b/>
        </w:rPr>
        <w:t>Een concreet objecttype bevat altijd een “identificerend” attribuutsoort waarmee objecten van het type binnen de eigen populatie uniek zijn aan te duiden</w:t>
      </w:r>
    </w:p>
    <w:p w:rsidR="005A7F58" w:rsidRDefault="005A7F58" w:rsidP="005A7F58">
      <w:pPr>
        <w:tabs>
          <w:tab w:val="left" w:pos="4111"/>
        </w:tabs>
        <w:rPr>
          <w:i/>
        </w:rPr>
      </w:pPr>
      <w:r>
        <w:t>Verder is in bovenstaand voorbeeld</w:t>
      </w:r>
      <w:r w:rsidR="0098769E">
        <w:t xml:space="preserve"> 2</w:t>
      </w:r>
      <w:r>
        <w:t xml:space="preserve"> (</w:t>
      </w:r>
      <w:proofErr w:type="spellStart"/>
      <w:r>
        <w:t>ist</w:t>
      </w:r>
      <w:proofErr w:type="spellEnd"/>
      <w:r>
        <w:t>) het attribuutsoort identificatiecode adresseerbaar object aanduiding onderkend</w:t>
      </w:r>
      <w:r w:rsidR="0065082A">
        <w:t xml:space="preserve"> bij het type ADRESSEERBAAR OBJECT AANDUIDING</w:t>
      </w:r>
      <w:r>
        <w:t xml:space="preserve">. Doordat de </w:t>
      </w:r>
      <w:proofErr w:type="spellStart"/>
      <w:r>
        <w:t>waardenverzameling</w:t>
      </w:r>
      <w:proofErr w:type="spellEnd"/>
      <w:r>
        <w:t xml:space="preserve"> als volgt is gedefinieerd (in </w:t>
      </w:r>
      <w:proofErr w:type="spellStart"/>
      <w:r>
        <w:t>ist</w:t>
      </w:r>
      <w:proofErr w:type="spellEnd"/>
      <w:r>
        <w:t xml:space="preserve"> situatie), zijn de nummeraanduiding objecten en overig adresseerbaar aanduiding objecten van het type ADRESSEER BAAR OBJECT AANDUIDING uniek geïdentificeerd:</w:t>
      </w:r>
    </w:p>
    <w:p w:rsidR="005A7F58" w:rsidRPr="005A7F58" w:rsidRDefault="005A7F58" w:rsidP="005A7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5A7F58">
        <w:rPr>
          <w:rFonts w:ascii="Arial" w:hAnsi="Arial" w:cs="Arial"/>
          <w:i/>
          <w:sz w:val="18"/>
          <w:szCs w:val="18"/>
        </w:rPr>
        <w:t xml:space="preserve">Combinatie van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viercijferige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'gemeentecode' (volgens GBA tabel 33),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tweecijferige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objecttypecode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' en een voor het betreffende objecttype binnen een gemeente uniek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tiencijferig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'objectvolgnummer'.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objecttypecode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kent in de BAG de volgende waarde:</w:t>
      </w:r>
    </w:p>
    <w:p w:rsidR="005A7F58" w:rsidRPr="005A7F58" w:rsidRDefault="005A7F58" w:rsidP="005A7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5A7F58">
        <w:rPr>
          <w:rFonts w:ascii="Arial" w:hAnsi="Arial" w:cs="Arial"/>
          <w:i/>
          <w:sz w:val="18"/>
          <w:szCs w:val="18"/>
        </w:rPr>
        <w:t>20 nummeraanduiding</w:t>
      </w:r>
    </w:p>
    <w:p w:rsidR="005A7F58" w:rsidRPr="0098769E" w:rsidRDefault="005A7F58" w:rsidP="005A7F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98769E">
        <w:rPr>
          <w:rFonts w:ascii="Arial" w:hAnsi="Arial" w:cs="Arial"/>
          <w:i/>
          <w:sz w:val="18"/>
          <w:szCs w:val="18"/>
        </w:rPr>
        <w:t>Voor de gevallen dat het gebouwd object geen verblijfsobject maar een overig gebouwd object betreft, is de volgende domeinwaarde toegevoegd:</w:t>
      </w:r>
    </w:p>
    <w:p w:rsidR="005A7F58" w:rsidRPr="0098769E" w:rsidRDefault="005A7F58" w:rsidP="005A7F58">
      <w:pPr>
        <w:tabs>
          <w:tab w:val="left" w:pos="4111"/>
        </w:tabs>
        <w:rPr>
          <w:rFonts w:ascii="Arial" w:hAnsi="Arial" w:cs="Arial"/>
          <w:i/>
          <w:sz w:val="18"/>
          <w:szCs w:val="18"/>
        </w:rPr>
      </w:pPr>
      <w:r w:rsidRPr="0098769E">
        <w:rPr>
          <w:rFonts w:ascii="Arial" w:hAnsi="Arial" w:cs="Arial"/>
          <w:i/>
          <w:sz w:val="18"/>
          <w:szCs w:val="18"/>
        </w:rPr>
        <w:t>90 overig adresseerbaar object aanduiding</w:t>
      </w:r>
    </w:p>
    <w:p w:rsidR="0098769E" w:rsidRDefault="0098769E" w:rsidP="005A7F58">
      <w:pPr>
        <w:tabs>
          <w:tab w:val="left" w:pos="411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Toepassing van de regel resulteert in het volgende:</w:t>
      </w:r>
    </w:p>
    <w:p w:rsidR="0098769E" w:rsidRDefault="00785660" w:rsidP="009876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Nummeraanduiding objecten</w:t>
      </w:r>
      <w:r w:rsidR="0098769E">
        <w:rPr>
          <w:rFonts w:ascii="Arial" w:hAnsi="Arial" w:cs="Arial"/>
          <w:sz w:val="18"/>
          <w:szCs w:val="18"/>
        </w:rPr>
        <w:t xml:space="preserve"> van het type NUMMERAANDUIDING bevatten een attribuut “identificatiecode nummeraanduiding” met een waarde </w:t>
      </w:r>
      <w:r w:rsidR="00E21B56">
        <w:rPr>
          <w:rFonts w:ascii="Arial" w:hAnsi="Arial" w:cs="Arial"/>
          <w:sz w:val="18"/>
          <w:szCs w:val="18"/>
        </w:rPr>
        <w:t>samengesteld</w:t>
      </w:r>
      <w:r w:rsidR="0098769E">
        <w:rPr>
          <w:rFonts w:ascii="Arial" w:hAnsi="Arial" w:cs="Arial"/>
          <w:sz w:val="18"/>
          <w:szCs w:val="18"/>
        </w:rPr>
        <w:t xml:space="preserve"> uit</w:t>
      </w:r>
    </w:p>
    <w:p w:rsidR="005A7F58" w:rsidRDefault="0098769E" w:rsidP="009876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5A7F58">
        <w:rPr>
          <w:rFonts w:ascii="Arial" w:hAnsi="Arial" w:cs="Arial"/>
          <w:i/>
          <w:sz w:val="18"/>
          <w:szCs w:val="18"/>
        </w:rPr>
        <w:t xml:space="preserve">Combinatie van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viercijferige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'gemeentecode' (volgens GBA tabel 33),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tweecijferige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objecttypecode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' en een voor het betreffende objecttype binnen een gemeente uniek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tiencijferig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'objectvolgnummer'.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objecttypecode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kent in de BAG de volgende waarde:20 nummeraanduiding</w:t>
      </w:r>
      <w:r>
        <w:rPr>
          <w:rFonts w:ascii="Arial" w:hAnsi="Arial" w:cs="Arial"/>
          <w:i/>
          <w:sz w:val="18"/>
          <w:szCs w:val="18"/>
        </w:rPr>
        <w:t>.</w:t>
      </w:r>
    </w:p>
    <w:p w:rsidR="0098769E" w:rsidRDefault="0098769E" w:rsidP="009876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98769E" w:rsidRDefault="0098769E" w:rsidP="009876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98769E">
        <w:rPr>
          <w:rFonts w:ascii="Arial" w:hAnsi="Arial" w:cs="Arial"/>
          <w:sz w:val="18"/>
          <w:szCs w:val="18"/>
        </w:rPr>
        <w:t xml:space="preserve">Overig </w:t>
      </w:r>
      <w:r w:rsidR="00E21B56">
        <w:rPr>
          <w:rFonts w:ascii="Arial" w:hAnsi="Arial" w:cs="Arial"/>
          <w:sz w:val="18"/>
          <w:szCs w:val="18"/>
        </w:rPr>
        <w:t>Ad</w:t>
      </w:r>
      <w:r w:rsidRPr="0098769E">
        <w:rPr>
          <w:rFonts w:ascii="Arial" w:hAnsi="Arial" w:cs="Arial"/>
          <w:sz w:val="18"/>
          <w:szCs w:val="18"/>
        </w:rPr>
        <w:t xml:space="preserve">resseerbaar </w:t>
      </w:r>
      <w:r w:rsidR="00E21B56">
        <w:rPr>
          <w:rFonts w:ascii="Arial" w:hAnsi="Arial" w:cs="Arial"/>
          <w:sz w:val="18"/>
          <w:szCs w:val="18"/>
        </w:rPr>
        <w:t>O</w:t>
      </w:r>
      <w:r w:rsidRPr="0098769E">
        <w:rPr>
          <w:rFonts w:ascii="Arial" w:hAnsi="Arial" w:cs="Arial"/>
          <w:sz w:val="18"/>
          <w:szCs w:val="18"/>
        </w:rPr>
        <w:t xml:space="preserve">bject </w:t>
      </w:r>
      <w:r w:rsidR="00E21B56">
        <w:rPr>
          <w:rFonts w:ascii="Arial" w:hAnsi="Arial" w:cs="Arial"/>
          <w:sz w:val="18"/>
          <w:szCs w:val="18"/>
        </w:rPr>
        <w:t>A</w:t>
      </w:r>
      <w:r w:rsidRPr="0098769E">
        <w:rPr>
          <w:rFonts w:ascii="Arial" w:hAnsi="Arial" w:cs="Arial"/>
          <w:sz w:val="18"/>
          <w:szCs w:val="18"/>
        </w:rPr>
        <w:t>anduiding objecten</w:t>
      </w:r>
      <w:r w:rsidR="00E21B56">
        <w:rPr>
          <w:rFonts w:ascii="Arial" w:hAnsi="Arial" w:cs="Arial"/>
          <w:sz w:val="18"/>
          <w:szCs w:val="18"/>
        </w:rPr>
        <w:t xml:space="preserve"> van het type OVERIG ADRESSEERBAAR OBJECT AANDUIDING bevatten een attribuut “identificatiecode overig adresseerbaar object aanduiding” met een waarde samengesteld uit:</w:t>
      </w:r>
    </w:p>
    <w:p w:rsidR="00E21B56" w:rsidRPr="005A7F58" w:rsidRDefault="00E21B56" w:rsidP="00E21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5A7F58">
        <w:rPr>
          <w:rFonts w:ascii="Arial" w:hAnsi="Arial" w:cs="Arial"/>
          <w:i/>
          <w:sz w:val="18"/>
          <w:szCs w:val="18"/>
        </w:rPr>
        <w:t xml:space="preserve">Combinatie van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viercijferige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'gemeentecode' (volgens GBA tabel 33), de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tweecijferige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objecttypecode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' en een voor het betreffende objecttype binnen een gemeente uniek </w:t>
      </w:r>
      <w:proofErr w:type="spellStart"/>
      <w:r w:rsidRPr="005A7F58">
        <w:rPr>
          <w:rFonts w:ascii="Arial" w:hAnsi="Arial" w:cs="Arial"/>
          <w:i/>
          <w:sz w:val="18"/>
          <w:szCs w:val="18"/>
        </w:rPr>
        <w:t>tiencijferig</w:t>
      </w:r>
      <w:proofErr w:type="spellEnd"/>
      <w:r w:rsidRPr="005A7F58">
        <w:rPr>
          <w:rFonts w:ascii="Arial" w:hAnsi="Arial" w:cs="Arial"/>
          <w:i/>
          <w:sz w:val="18"/>
          <w:szCs w:val="18"/>
        </w:rPr>
        <w:t xml:space="preserve"> 'objectvolgnummer'. </w:t>
      </w:r>
    </w:p>
    <w:p w:rsidR="00E21B56" w:rsidRDefault="00E21B56" w:rsidP="00E21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98769E">
        <w:rPr>
          <w:rFonts w:ascii="Arial" w:hAnsi="Arial" w:cs="Arial"/>
          <w:i/>
          <w:sz w:val="18"/>
          <w:szCs w:val="18"/>
        </w:rPr>
        <w:t xml:space="preserve">Voor de gevallen dat het gebouwd object geen verblijfsobject maar een overig gebouwd object betreft, is de </w:t>
      </w:r>
      <w:r>
        <w:rPr>
          <w:rFonts w:ascii="Arial" w:hAnsi="Arial" w:cs="Arial"/>
          <w:i/>
          <w:sz w:val="18"/>
          <w:szCs w:val="18"/>
        </w:rPr>
        <w:t xml:space="preserve">waarde van de </w:t>
      </w:r>
      <w:proofErr w:type="spellStart"/>
      <w:r>
        <w:rPr>
          <w:rFonts w:ascii="Arial" w:hAnsi="Arial" w:cs="Arial"/>
          <w:i/>
          <w:sz w:val="18"/>
          <w:szCs w:val="18"/>
        </w:rPr>
        <w:t>objecttypecode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</w:t>
      </w:r>
      <w:r w:rsidRPr="0098769E">
        <w:rPr>
          <w:rFonts w:ascii="Arial" w:hAnsi="Arial" w:cs="Arial"/>
          <w:i/>
          <w:sz w:val="18"/>
          <w:szCs w:val="18"/>
        </w:rPr>
        <w:t>90 overig adresseerbaar object aanduiding</w:t>
      </w:r>
    </w:p>
    <w:p w:rsidR="0065082A" w:rsidRDefault="0065082A" w:rsidP="00E21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5082A" w:rsidRPr="0065082A" w:rsidRDefault="0065082A" w:rsidP="00E21B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hiermee bereiken we een vergelijkbare specificatie met de concrete objecten van het type SUBJECT (voorbeeld 1)</w:t>
      </w:r>
    </w:p>
    <w:p w:rsidR="00E21B56" w:rsidRPr="0098769E" w:rsidRDefault="00E21B56" w:rsidP="009876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A7F58" w:rsidRPr="005A7F58" w:rsidRDefault="005A7F58" w:rsidP="005A7F58">
      <w:pPr>
        <w:tabs>
          <w:tab w:val="left" w:pos="4111"/>
        </w:tabs>
      </w:pPr>
    </w:p>
    <w:p w:rsidR="00EC7001" w:rsidRDefault="00EC7001"/>
    <w:p w:rsidR="00EC7001" w:rsidRDefault="00EC7001"/>
    <w:sectPr w:rsidR="00EC7001" w:rsidSect="00F6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D2557"/>
    <w:multiLevelType w:val="hybridMultilevel"/>
    <w:tmpl w:val="3580CEAE"/>
    <w:lvl w:ilvl="0" w:tplc="050029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809A4"/>
    <w:rsid w:val="00012EF4"/>
    <w:rsid w:val="000915EF"/>
    <w:rsid w:val="00093387"/>
    <w:rsid w:val="000D48BE"/>
    <w:rsid w:val="0017517A"/>
    <w:rsid w:val="00194F9C"/>
    <w:rsid w:val="0041201E"/>
    <w:rsid w:val="00486B20"/>
    <w:rsid w:val="004C38EB"/>
    <w:rsid w:val="005056A8"/>
    <w:rsid w:val="00544753"/>
    <w:rsid w:val="00564CEE"/>
    <w:rsid w:val="005A7F58"/>
    <w:rsid w:val="005E1B6F"/>
    <w:rsid w:val="005E729C"/>
    <w:rsid w:val="005E7A86"/>
    <w:rsid w:val="006405F5"/>
    <w:rsid w:val="0065082A"/>
    <w:rsid w:val="006B0AD1"/>
    <w:rsid w:val="006C1AFC"/>
    <w:rsid w:val="00721711"/>
    <w:rsid w:val="00746B6F"/>
    <w:rsid w:val="007809A4"/>
    <w:rsid w:val="00785660"/>
    <w:rsid w:val="008540F4"/>
    <w:rsid w:val="008808AB"/>
    <w:rsid w:val="0088307B"/>
    <w:rsid w:val="00960427"/>
    <w:rsid w:val="0098769E"/>
    <w:rsid w:val="009D5086"/>
    <w:rsid w:val="00A5657C"/>
    <w:rsid w:val="00AD6307"/>
    <w:rsid w:val="00BC466A"/>
    <w:rsid w:val="00C913FC"/>
    <w:rsid w:val="00CB5A48"/>
    <w:rsid w:val="00CC41CD"/>
    <w:rsid w:val="00CF5EEB"/>
    <w:rsid w:val="00E21B56"/>
    <w:rsid w:val="00EC7001"/>
    <w:rsid w:val="00EE5C0F"/>
    <w:rsid w:val="00F215B9"/>
    <w:rsid w:val="00F43B0A"/>
    <w:rsid w:val="00F63639"/>
    <w:rsid w:val="00FA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09A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60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BB20-0200-4950-8739-C337BEFE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646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21</cp:revision>
  <dcterms:created xsi:type="dcterms:W3CDTF">2011-01-16T15:43:00Z</dcterms:created>
  <dcterms:modified xsi:type="dcterms:W3CDTF">2011-01-22T15:48:00Z</dcterms:modified>
</cp:coreProperties>
</file>